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21"/>
        <w:gridCol w:w="2977"/>
        <w:gridCol w:w="3265"/>
      </w:tblGrid>
      <w:tr w:rsidR="00462EFC">
        <w:trPr>
          <w:trHeight w:val="1044"/>
          <w:jc w:val="center"/>
        </w:trPr>
        <w:tc>
          <w:tcPr>
            <w:tcW w:w="3321" w:type="dxa"/>
            <w:shd w:val="clear" w:color="auto" w:fill="auto"/>
          </w:tcPr>
          <w:p w:rsidR="00462EFC" w:rsidRDefault="00462EFC">
            <w:pPr>
              <w:widowControl w:val="0"/>
              <w:autoSpaceDE w:val="0"/>
              <w:snapToGrid w:val="0"/>
              <w:spacing w:line="276" w:lineRule="auto"/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:rsidR="00462EFC" w:rsidRDefault="00507920">
            <w:pPr>
              <w:widowControl w:val="0"/>
              <w:autoSpaceDE w:val="0"/>
              <w:spacing w:line="276" w:lineRule="auto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76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" t="-9" r="-15" b="-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  <w:shd w:val="clear" w:color="auto" w:fill="auto"/>
          </w:tcPr>
          <w:p w:rsidR="00462EFC" w:rsidRDefault="00462EFC">
            <w:pPr>
              <w:widowControl w:val="0"/>
              <w:autoSpaceDE w:val="0"/>
              <w:snapToGrid w:val="0"/>
              <w:spacing w:line="276" w:lineRule="auto"/>
              <w:ind w:left="460" w:right="-142"/>
              <w:rPr>
                <w:b/>
                <w:sz w:val="28"/>
                <w:szCs w:val="28"/>
              </w:rPr>
            </w:pPr>
          </w:p>
        </w:tc>
      </w:tr>
    </w:tbl>
    <w:p w:rsidR="00462EFC" w:rsidRDefault="00462EFC">
      <w:pPr>
        <w:pStyle w:val="2"/>
        <w:spacing w:after="0" w:line="276" w:lineRule="auto"/>
        <w:jc w:val="center"/>
        <w:rPr>
          <w:sz w:val="34"/>
          <w:szCs w:val="34"/>
        </w:rPr>
      </w:pPr>
      <w:r>
        <w:rPr>
          <w:rFonts w:ascii="Times New Roman" w:hAnsi="Times New Roman" w:cs="Times New Roman"/>
          <w:i w:val="0"/>
        </w:rPr>
        <w:t>АДМИНИСТРАЦИЯ ЧЕРКАССКОГО СЕЛЬСОВЕТА САРАКТАШСКОГО РАЙОНА ОРЕНБУРГСКОЙ ОБЛАСТИ</w:t>
      </w:r>
    </w:p>
    <w:p w:rsidR="00462EFC" w:rsidRDefault="00462EFC">
      <w:pPr>
        <w:spacing w:line="276" w:lineRule="auto"/>
        <w:jc w:val="center"/>
        <w:rPr>
          <w:rFonts w:ascii="Arial" w:hAnsi="Arial" w:cs="Arial"/>
          <w:sz w:val="2"/>
          <w:szCs w:val="2"/>
        </w:rPr>
      </w:pPr>
      <w:r>
        <w:rPr>
          <w:b/>
          <w:sz w:val="34"/>
          <w:szCs w:val="34"/>
        </w:rPr>
        <w:t>П О С Т А Н О В Л Е Н И Е</w:t>
      </w:r>
    </w:p>
    <w:p w:rsidR="00462EFC" w:rsidRDefault="00462EFC">
      <w:pPr>
        <w:pBdr>
          <w:top w:val="none" w:sz="0" w:space="0" w:color="000000"/>
          <w:left w:val="none" w:sz="0" w:space="0" w:color="000000"/>
          <w:bottom w:val="single" w:sz="18" w:space="0" w:color="000000"/>
          <w:right w:val="none" w:sz="0" w:space="0" w:color="000000"/>
        </w:pBdr>
        <w:spacing w:line="276" w:lineRule="auto"/>
        <w:ind w:right="-5"/>
        <w:rPr>
          <w:rFonts w:ascii="Arial" w:hAnsi="Arial" w:cs="Arial"/>
          <w:sz w:val="2"/>
          <w:szCs w:val="2"/>
        </w:rPr>
      </w:pPr>
    </w:p>
    <w:p w:rsidR="00462EFC" w:rsidRDefault="00462EFC">
      <w:pPr>
        <w:spacing w:line="276" w:lineRule="auto"/>
        <w:ind w:right="-74"/>
        <w:rPr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507920">
        <w:rPr>
          <w:noProof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haracter">
              <wp:align>left</wp:align>
            </wp:positionH>
            <wp:positionV relativeFrom="paragraph">
              <wp:align>top</wp:align>
            </wp:positionV>
            <wp:extent cx="2923540" cy="359410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8"/>
          <w:szCs w:val="28"/>
        </w:rPr>
        <w:t xml:space="preserve"> </w:t>
      </w:r>
    </w:p>
    <w:p w:rsidR="009B576E" w:rsidRDefault="009B576E">
      <w:pPr>
        <w:pStyle w:val="a9"/>
        <w:tabs>
          <w:tab w:val="left" w:pos="708"/>
        </w:tabs>
        <w:spacing w:line="276" w:lineRule="auto"/>
        <w:ind w:right="-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62EFC" w:rsidRDefault="00462EFC">
      <w:pPr>
        <w:pStyle w:val="a9"/>
        <w:tabs>
          <w:tab w:val="left" w:pos="708"/>
        </w:tabs>
        <w:spacing w:line="276" w:lineRule="auto"/>
        <w:ind w:right="-142"/>
        <w:jc w:val="center"/>
        <w:rPr>
          <w:rFonts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с. Черкассы</w:t>
      </w:r>
    </w:p>
    <w:p w:rsidR="00462EFC" w:rsidRDefault="00462EFC">
      <w:pPr>
        <w:autoSpaceDE w:val="0"/>
        <w:rPr>
          <w:color w:val="000000"/>
          <w:sz w:val="24"/>
          <w:szCs w:val="24"/>
          <w:u w:val="single"/>
        </w:rPr>
      </w:pPr>
    </w:p>
    <w:p w:rsidR="00462EFC" w:rsidRDefault="00462EFC" w:rsidP="009B576E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Об утверждении перечней главных администраторов доходов и источников финансирования дефицита бюджета муниципального образования Черкасский сельсовет Саракташского района</w:t>
      </w:r>
    </w:p>
    <w:p w:rsidR="00462EFC" w:rsidRDefault="00462EFC">
      <w:p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sz w:val="28"/>
          <w:szCs w:val="28"/>
        </w:rPr>
        <w:t xml:space="preserve">В соответствии со </w:t>
      </w:r>
      <w:hyperlink r:id="rId7" w:history="1">
        <w:r>
          <w:rPr>
            <w:rStyle w:val="a4"/>
            <w:sz w:val="28"/>
            <w:szCs w:val="28"/>
          </w:rPr>
          <w:t xml:space="preserve">статьей </w:t>
        </w:r>
      </w:hyperlink>
      <w:r>
        <w:rPr>
          <w:sz w:val="28"/>
          <w:szCs w:val="28"/>
        </w:rPr>
        <w:t>160.1, пунктом 4 статьи 160.2 Бюджетного кодекса Российской Федерации</w:t>
      </w:r>
    </w:p>
    <w:p w:rsidR="00462EFC" w:rsidRDefault="00462EFC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перечень главных администраторов доходов бюджета муниципального образования Черкасский сельсовет Саракташского района согласно Приложению №1 к настоящему постановлению. </w:t>
      </w:r>
    </w:p>
    <w:p w:rsidR="00462EFC" w:rsidRDefault="00462EFC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2.Утвердить перечень главных администраторов источников финансирования дефицита бюджета муниципального образования Черкасский сельсовет Саракташского района согласно Приложению № 2 к настоящему постановлению. </w:t>
      </w:r>
    </w:p>
    <w:p w:rsidR="00462EFC" w:rsidRDefault="00462EF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постановления оставляю за собой.</w:t>
      </w:r>
    </w:p>
    <w:p w:rsidR="00462EFC" w:rsidRDefault="00462EFC">
      <w:pPr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4. Постановление вступает в силу со дня его подписания и применяется к правоотношениям, возникающим при составлении и исполнении бюджета МО Черкасский сельсовет, начиная с местного бюджета на 2025 год и на плановый период 2026 и 2027 годов и подлежит размещению на официальном сайте администрации </w:t>
      </w:r>
      <w:r>
        <w:rPr>
          <w:color w:val="000000"/>
          <w:sz w:val="28"/>
          <w:szCs w:val="28"/>
        </w:rPr>
        <w:t>Черкасский сельсовет Саракташского района.</w:t>
      </w:r>
      <w:r w:rsidR="00507920">
        <w:rPr>
          <w:noProof/>
          <w:lang w:eastAsia="ru-RU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haracter">
              <wp:posOffset>1296670</wp:posOffset>
            </wp:positionH>
            <wp:positionV relativeFrom="paragraph">
              <wp:posOffset>1048385</wp:posOffset>
            </wp:positionV>
            <wp:extent cx="2876550" cy="107950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EFC" w:rsidRDefault="00462EFC">
      <w:pPr>
        <w:spacing w:after="200" w:line="276" w:lineRule="auto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</w:p>
    <w:p w:rsidR="00462EFC" w:rsidRDefault="00462EFC">
      <w:pPr>
        <w:spacing w:after="200" w:line="276" w:lineRule="auto"/>
        <w:jc w:val="both"/>
        <w:rPr>
          <w:rFonts w:ascii="Tahoma" w:eastAsia="Tahoma" w:hAnsi="Tahoma" w:cs="Tahoma"/>
          <w:kern w:val="2"/>
          <w:sz w:val="16"/>
          <w:szCs w:val="16"/>
        </w:rPr>
      </w:pPr>
      <w:r>
        <w:rPr>
          <w:rFonts w:eastAsia="Calibri"/>
          <w:sz w:val="28"/>
          <w:szCs w:val="28"/>
          <w:lang w:eastAsia="en-US"/>
        </w:rPr>
        <w:t>Врип главы сельсовета                                                                   М.М. Имамбаев</w:t>
      </w:r>
    </w:p>
    <w:p w:rsidR="00462EFC" w:rsidRDefault="00462EFC">
      <w:pPr>
        <w:widowControl w:val="0"/>
        <w:spacing w:after="120"/>
        <w:ind w:left="1416" w:firstLine="708"/>
        <w:rPr>
          <w:rFonts w:ascii="Tahoma" w:eastAsia="Calibri" w:hAnsi="Tahoma" w:cs="Tahoma"/>
          <w:kern w:val="2"/>
          <w:sz w:val="28"/>
          <w:szCs w:val="28"/>
          <w:lang w:eastAsia="en-US"/>
        </w:rPr>
      </w:pPr>
      <w:r>
        <w:rPr>
          <w:rFonts w:ascii="Tahoma" w:eastAsia="Tahoma" w:hAnsi="Tahoma" w:cs="Tahoma"/>
          <w:kern w:val="2"/>
          <w:sz w:val="16"/>
          <w:szCs w:val="16"/>
        </w:rPr>
        <w:t xml:space="preserve">                         </w:t>
      </w:r>
    </w:p>
    <w:p w:rsidR="00462EFC" w:rsidRDefault="00462EFC">
      <w:pPr>
        <w:tabs>
          <w:tab w:val="left" w:pos="111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4"/>
          <w:szCs w:val="24"/>
        </w:rPr>
        <w:t>Разослано: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прокурору района, финансовый отдел администрации Саракташского района, официальный сайт, в дело.</w:t>
      </w:r>
    </w:p>
    <w:p w:rsidR="00462EFC" w:rsidRDefault="00462EFC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9B576E" w:rsidRDefault="009B576E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9B576E" w:rsidRDefault="009B576E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9B576E" w:rsidRDefault="009B576E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9B576E" w:rsidRDefault="009B576E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9B576E" w:rsidRDefault="009B576E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462EFC" w:rsidRDefault="00462EFC">
      <w:pPr>
        <w:ind w:left="6237" w:hanging="425"/>
        <w:contextualSpacing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462EFC" w:rsidRDefault="00462EF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администрации   </w:t>
      </w:r>
    </w:p>
    <w:p w:rsidR="00462EFC" w:rsidRDefault="00462EFC">
      <w:pPr>
        <w:jc w:val="right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Черкасский сельсовет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от 14.11.2024  № 194-п</w:t>
      </w:r>
    </w:p>
    <w:p w:rsidR="00462EFC" w:rsidRDefault="00462EFC">
      <w:pPr>
        <w:pStyle w:val="1"/>
        <w:widowControl/>
        <w:spacing w:before="0" w:after="0"/>
        <w:ind w:left="5670"/>
        <w:contextualSpacing/>
        <w:jc w:val="right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 xml:space="preserve"> </w:t>
      </w:r>
    </w:p>
    <w:p w:rsidR="00462EFC" w:rsidRDefault="00462EFC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62EFC" w:rsidRDefault="00462E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главных администраторов доходов бюджета муниципального образования </w:t>
      </w:r>
      <w:r>
        <w:rPr>
          <w:b/>
          <w:color w:val="000000"/>
          <w:sz w:val="24"/>
          <w:szCs w:val="24"/>
        </w:rPr>
        <w:t>Черкасский сельсовет Саракташского района</w:t>
      </w:r>
    </w:p>
    <w:p w:rsidR="00462EFC" w:rsidRDefault="00462EFC">
      <w:pPr>
        <w:jc w:val="center"/>
        <w:rPr>
          <w:b/>
          <w:sz w:val="24"/>
          <w:szCs w:val="24"/>
        </w:rPr>
      </w:pPr>
    </w:p>
    <w:p w:rsidR="00462EFC" w:rsidRDefault="00462EFC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3060"/>
        <w:gridCol w:w="6039"/>
      </w:tblGrid>
      <w:tr w:rsidR="00462EFC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center"/>
            </w:pPr>
            <w:r>
              <w:rPr>
                <w:b/>
                <w:sz w:val="23"/>
                <w:szCs w:val="23"/>
              </w:rPr>
              <w:t>Муниципальное образование Черкасский сельсовет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137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1 08 04020 01 1000 110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137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1 11 05035 10 0000 120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137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1 11 09045 10 0000 120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137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r>
              <w:rPr>
                <w:sz w:val="23"/>
                <w:szCs w:val="23"/>
              </w:rPr>
              <w:t>1 13 01995 10 0000 130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137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1 14 02052 10 0000 410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137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1 14 02052 10 0000 440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137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1 14 02053 10 0000 410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  <w:p w:rsidR="00462EFC" w:rsidRDefault="00462EFC">
            <w:pPr>
              <w:jc w:val="both"/>
              <w:rPr>
                <w:sz w:val="23"/>
                <w:szCs w:val="23"/>
              </w:rPr>
            </w:pP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137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1 14 02053 10 0000 440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137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1 14 04050 10 0000 420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137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r>
              <w:rPr>
                <w:sz w:val="23"/>
                <w:szCs w:val="23"/>
              </w:rPr>
              <w:t>1 16 18050 10 0000 140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lastRenderedPageBreak/>
              <w:t>137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r>
              <w:rPr>
                <w:sz w:val="23"/>
                <w:szCs w:val="23"/>
              </w:rPr>
              <w:t>1 16 23051 10 0000 140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137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r>
              <w:rPr>
                <w:sz w:val="23"/>
                <w:szCs w:val="23"/>
              </w:rPr>
              <w:t>1 16 90050 10 0000 140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137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1 17 01050 10 0000 180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Невыясненные поступления, зачисляемые в бюджеты поселений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137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r>
              <w:rPr>
                <w:sz w:val="23"/>
                <w:szCs w:val="23"/>
              </w:rPr>
              <w:t>1 17 05050 10 0000 180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Прочие неналоговые доходы бюджетов поселений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137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r>
              <w:rPr>
                <w:sz w:val="23"/>
                <w:szCs w:val="23"/>
              </w:rPr>
              <w:t>2 02 15001 10 0000 150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Дотации бюджетам поселений на выравнивание бюджетной обеспеченности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137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r>
              <w:rPr>
                <w:sz w:val="23"/>
                <w:szCs w:val="23"/>
              </w:rPr>
              <w:t>2 02 15002 10 0000 150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137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r>
              <w:rPr>
                <w:sz w:val="23"/>
                <w:szCs w:val="23"/>
              </w:rPr>
              <w:t>2 02 35930 10 0000 150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137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r>
              <w:rPr>
                <w:sz w:val="23"/>
                <w:szCs w:val="23"/>
              </w:rPr>
              <w:t>2 02 35118 10 0000 150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137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r>
              <w:rPr>
                <w:sz w:val="23"/>
                <w:szCs w:val="23"/>
              </w:rPr>
              <w:t>2 02 27576 10 0000 150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137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r>
              <w:rPr>
                <w:sz w:val="23"/>
                <w:szCs w:val="23"/>
              </w:rPr>
              <w:t>2 02 29999 10 0000 150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Прочие субсидии бюджетам сельских поселений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137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2 02 49999 10 0000 150 </w:t>
            </w:r>
          </w:p>
          <w:p w:rsidR="00462EFC" w:rsidRDefault="00462EFC">
            <w:pPr>
              <w:rPr>
                <w:sz w:val="23"/>
                <w:szCs w:val="23"/>
              </w:rPr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межбюджетные трансферты, передаваемые бюджетам сельских  поселений</w:t>
            </w:r>
          </w:p>
          <w:p w:rsidR="00462EFC" w:rsidRDefault="00462EFC">
            <w:pPr>
              <w:jc w:val="both"/>
              <w:rPr>
                <w:sz w:val="23"/>
                <w:szCs w:val="23"/>
              </w:rPr>
            </w:pP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137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r>
              <w:rPr>
                <w:sz w:val="23"/>
                <w:szCs w:val="23"/>
              </w:rPr>
              <w:t xml:space="preserve">2 07 05030 10 0000 180    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Прочие безвозмездные поступления в бюджеты поселений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137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r>
              <w:rPr>
                <w:sz w:val="23"/>
                <w:szCs w:val="23"/>
              </w:rPr>
              <w:t>2 08 05000 10 0000 150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3"/>
                <w:szCs w:val="23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62EFC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</w:rPr>
              <w:t>Федеральная налоговая служба</w:t>
            </w:r>
          </w:p>
          <w:p w:rsidR="00462EFC" w:rsidRDefault="00462EFC">
            <w:pPr>
              <w:jc w:val="center"/>
              <w:rPr>
                <w:sz w:val="24"/>
                <w:szCs w:val="24"/>
              </w:rPr>
            </w:pP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1 01 02 010 01 0000 110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1 01 02 010 01 1000 110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1 01 02 010 01 2100 110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 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lastRenderedPageBreak/>
              <w:t xml:space="preserve">182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1 01 02 010 01 3000 110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1 01 02 020 01 1000 110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1 01 02 020 01 2100 110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 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1 01 02 030 01 1000 110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1 01 02 030 01 2100 110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1 01 02 030 01 3000 110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1 01 02 080 01 1000 110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1 05 01 011 01 0000 110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1 05 01 011 01 1000 110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1 05 01 011 01 2100 110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 (пени по соответствующему платежу) 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1 05 01 021 01 1000 110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</w:t>
            </w:r>
            <w:r>
              <w:rPr>
                <w:sz w:val="23"/>
                <w:szCs w:val="23"/>
              </w:rPr>
              <w:lastRenderedPageBreak/>
              <w:t xml:space="preserve">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lastRenderedPageBreak/>
              <w:t xml:space="preserve">182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1 05 01 021 01 2100 110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 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1 05 02 010 02 0000 110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1 05 02 010 02 1000 110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1 05 02 010 02 2100 110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(пени по соответствующему платежу) 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1 05 02 010 02 3000 110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1 05 03 010 01 0000 110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Единый сельскохозяйственный налог 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1 05 03 010 01 1000 110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462E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1 05 03 010 01 2100 110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pStyle w:val="Default"/>
            </w:pPr>
            <w:r>
              <w:rPr>
                <w:sz w:val="23"/>
                <w:szCs w:val="23"/>
              </w:rPr>
              <w:t xml:space="preserve">Единый сельскохозяйственный налог (пени по соответствующему платежу) </w:t>
            </w:r>
          </w:p>
        </w:tc>
      </w:tr>
      <w:tr w:rsidR="00462EFC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462EFC" w:rsidRDefault="00462EFC"/>
    <w:p w:rsidR="00462EFC" w:rsidRDefault="00462EFC">
      <w:pPr>
        <w:ind w:firstLine="6096"/>
        <w:jc w:val="right"/>
        <w:rPr>
          <w:sz w:val="24"/>
          <w:szCs w:val="24"/>
        </w:rPr>
      </w:pPr>
    </w:p>
    <w:p w:rsidR="00462EFC" w:rsidRDefault="00462EFC">
      <w:pPr>
        <w:ind w:firstLine="6096"/>
        <w:jc w:val="right"/>
        <w:rPr>
          <w:sz w:val="24"/>
          <w:szCs w:val="24"/>
        </w:rPr>
      </w:pPr>
    </w:p>
    <w:p w:rsidR="00462EFC" w:rsidRDefault="00462EFC">
      <w:pPr>
        <w:ind w:firstLine="6096"/>
        <w:jc w:val="right"/>
        <w:rPr>
          <w:sz w:val="24"/>
          <w:szCs w:val="24"/>
        </w:rPr>
      </w:pPr>
    </w:p>
    <w:p w:rsidR="00462EFC" w:rsidRDefault="00462EFC">
      <w:pPr>
        <w:ind w:firstLine="6096"/>
        <w:jc w:val="right"/>
        <w:rPr>
          <w:sz w:val="24"/>
          <w:szCs w:val="24"/>
        </w:rPr>
      </w:pPr>
    </w:p>
    <w:p w:rsidR="00462EFC" w:rsidRDefault="00462EFC">
      <w:pPr>
        <w:ind w:firstLine="6096"/>
        <w:jc w:val="right"/>
        <w:rPr>
          <w:sz w:val="24"/>
          <w:szCs w:val="24"/>
        </w:rPr>
      </w:pPr>
    </w:p>
    <w:p w:rsidR="00462EFC" w:rsidRDefault="00462EFC">
      <w:pPr>
        <w:ind w:firstLine="6096"/>
        <w:jc w:val="right"/>
        <w:rPr>
          <w:sz w:val="24"/>
          <w:szCs w:val="24"/>
        </w:rPr>
      </w:pPr>
    </w:p>
    <w:p w:rsidR="00462EFC" w:rsidRDefault="00462EFC">
      <w:pPr>
        <w:ind w:firstLine="6096"/>
        <w:jc w:val="right"/>
        <w:rPr>
          <w:sz w:val="24"/>
          <w:szCs w:val="24"/>
        </w:rPr>
      </w:pPr>
    </w:p>
    <w:p w:rsidR="00462EFC" w:rsidRDefault="00462EFC">
      <w:pPr>
        <w:ind w:firstLine="6096"/>
        <w:jc w:val="right"/>
        <w:rPr>
          <w:sz w:val="24"/>
          <w:szCs w:val="24"/>
        </w:rPr>
      </w:pPr>
    </w:p>
    <w:p w:rsidR="00462EFC" w:rsidRDefault="00462EFC">
      <w:pPr>
        <w:ind w:firstLine="6096"/>
        <w:jc w:val="right"/>
        <w:rPr>
          <w:sz w:val="24"/>
          <w:szCs w:val="24"/>
        </w:rPr>
      </w:pPr>
    </w:p>
    <w:p w:rsidR="00462EFC" w:rsidRDefault="00462EFC">
      <w:pPr>
        <w:ind w:firstLine="6096"/>
        <w:jc w:val="right"/>
        <w:rPr>
          <w:sz w:val="24"/>
          <w:szCs w:val="24"/>
        </w:rPr>
      </w:pPr>
    </w:p>
    <w:p w:rsidR="00462EFC" w:rsidRDefault="00462EFC">
      <w:pPr>
        <w:ind w:firstLine="6096"/>
        <w:jc w:val="right"/>
        <w:rPr>
          <w:sz w:val="24"/>
          <w:szCs w:val="24"/>
        </w:rPr>
      </w:pPr>
    </w:p>
    <w:p w:rsidR="00462EFC" w:rsidRDefault="00462EFC">
      <w:pPr>
        <w:ind w:firstLine="6096"/>
        <w:jc w:val="right"/>
        <w:rPr>
          <w:sz w:val="24"/>
          <w:szCs w:val="24"/>
        </w:rPr>
      </w:pPr>
    </w:p>
    <w:p w:rsidR="00462EFC" w:rsidRDefault="00462EFC">
      <w:pPr>
        <w:ind w:firstLine="6096"/>
        <w:jc w:val="right"/>
        <w:rPr>
          <w:sz w:val="24"/>
          <w:szCs w:val="24"/>
        </w:rPr>
      </w:pPr>
    </w:p>
    <w:p w:rsidR="00462EFC" w:rsidRDefault="00462EFC">
      <w:pPr>
        <w:ind w:firstLine="6096"/>
        <w:jc w:val="right"/>
        <w:rPr>
          <w:sz w:val="24"/>
          <w:szCs w:val="24"/>
        </w:rPr>
      </w:pPr>
    </w:p>
    <w:p w:rsidR="00462EFC" w:rsidRDefault="00462EFC">
      <w:pPr>
        <w:ind w:firstLine="6096"/>
        <w:jc w:val="right"/>
        <w:rPr>
          <w:sz w:val="24"/>
          <w:szCs w:val="24"/>
        </w:rPr>
      </w:pPr>
    </w:p>
    <w:p w:rsidR="00462EFC" w:rsidRDefault="00462EFC">
      <w:pPr>
        <w:ind w:firstLine="6096"/>
        <w:jc w:val="right"/>
        <w:rPr>
          <w:sz w:val="24"/>
          <w:szCs w:val="24"/>
        </w:rPr>
      </w:pPr>
    </w:p>
    <w:p w:rsidR="00462EFC" w:rsidRDefault="00462EFC">
      <w:pPr>
        <w:ind w:firstLine="6096"/>
        <w:jc w:val="right"/>
        <w:rPr>
          <w:sz w:val="24"/>
          <w:szCs w:val="24"/>
        </w:rPr>
      </w:pPr>
    </w:p>
    <w:p w:rsidR="00462EFC" w:rsidRDefault="00462EFC">
      <w:pPr>
        <w:ind w:firstLine="6096"/>
        <w:jc w:val="right"/>
        <w:rPr>
          <w:sz w:val="24"/>
          <w:szCs w:val="24"/>
        </w:rPr>
      </w:pPr>
    </w:p>
    <w:p w:rsidR="00462EFC" w:rsidRDefault="00462EFC">
      <w:pPr>
        <w:ind w:firstLine="6096"/>
        <w:jc w:val="right"/>
        <w:rPr>
          <w:sz w:val="24"/>
          <w:szCs w:val="24"/>
        </w:rPr>
      </w:pPr>
    </w:p>
    <w:p w:rsidR="00462EFC" w:rsidRDefault="00462EFC">
      <w:pPr>
        <w:ind w:firstLine="6096"/>
        <w:jc w:val="right"/>
        <w:rPr>
          <w:sz w:val="24"/>
          <w:szCs w:val="24"/>
        </w:rPr>
      </w:pPr>
    </w:p>
    <w:p w:rsidR="00462EFC" w:rsidRDefault="00462EFC">
      <w:pPr>
        <w:ind w:firstLine="6096"/>
        <w:jc w:val="right"/>
        <w:rPr>
          <w:sz w:val="24"/>
          <w:szCs w:val="24"/>
        </w:rPr>
      </w:pPr>
    </w:p>
    <w:p w:rsidR="00462EFC" w:rsidRDefault="00462EFC">
      <w:pPr>
        <w:ind w:firstLine="6096"/>
        <w:jc w:val="right"/>
        <w:rPr>
          <w:sz w:val="24"/>
          <w:szCs w:val="24"/>
        </w:rPr>
      </w:pPr>
    </w:p>
    <w:p w:rsidR="00462EFC" w:rsidRDefault="00462EFC">
      <w:pPr>
        <w:ind w:firstLine="6096"/>
        <w:jc w:val="right"/>
        <w:rPr>
          <w:sz w:val="24"/>
          <w:szCs w:val="24"/>
        </w:rPr>
      </w:pPr>
    </w:p>
    <w:p w:rsidR="00462EFC" w:rsidRDefault="00462EFC">
      <w:pPr>
        <w:ind w:firstLine="6096"/>
        <w:jc w:val="right"/>
        <w:rPr>
          <w:sz w:val="24"/>
          <w:szCs w:val="24"/>
        </w:rPr>
      </w:pPr>
    </w:p>
    <w:p w:rsidR="00462EFC" w:rsidRDefault="00462EFC">
      <w:pPr>
        <w:ind w:firstLine="6096"/>
        <w:jc w:val="right"/>
        <w:rPr>
          <w:sz w:val="24"/>
          <w:szCs w:val="24"/>
        </w:rPr>
      </w:pPr>
    </w:p>
    <w:p w:rsidR="00462EFC" w:rsidRDefault="00462EFC">
      <w:pPr>
        <w:ind w:left="6237" w:hanging="425"/>
        <w:contextualSpacing/>
        <w:jc w:val="right"/>
        <w:rPr>
          <w:color w:val="000000"/>
          <w:sz w:val="24"/>
          <w:szCs w:val="24"/>
        </w:rPr>
      </w:pPr>
      <w:bookmarkStart w:id="1" w:name="P40"/>
      <w:bookmarkEnd w:id="1"/>
      <w:r>
        <w:rPr>
          <w:sz w:val="24"/>
          <w:szCs w:val="24"/>
        </w:rPr>
        <w:lastRenderedPageBreak/>
        <w:t>Приложение №2</w:t>
      </w:r>
    </w:p>
    <w:p w:rsidR="00462EFC" w:rsidRDefault="00462EF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администрации   </w:t>
      </w:r>
    </w:p>
    <w:p w:rsidR="00462EFC" w:rsidRDefault="00462EF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Черкасский сельсовет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от 14.11.2024  № 194-п</w:t>
      </w:r>
    </w:p>
    <w:p w:rsidR="00462EFC" w:rsidRDefault="00462EFC">
      <w:pPr>
        <w:jc w:val="right"/>
        <w:rPr>
          <w:color w:val="000000"/>
          <w:sz w:val="24"/>
          <w:szCs w:val="24"/>
        </w:rPr>
      </w:pPr>
    </w:p>
    <w:p w:rsidR="00462EFC" w:rsidRDefault="00462EFC">
      <w:pPr>
        <w:jc w:val="center"/>
        <w:rPr>
          <w:sz w:val="24"/>
          <w:szCs w:val="24"/>
        </w:rPr>
      </w:pPr>
      <w:bookmarkStart w:id="2" w:name="P5765"/>
      <w:bookmarkEnd w:id="2"/>
      <w:r>
        <w:rPr>
          <w:sz w:val="24"/>
          <w:szCs w:val="24"/>
        </w:rPr>
        <w:t>Перечень главных администраторов источников финансирования дефицита местного бюджета</w:t>
      </w:r>
    </w:p>
    <w:p w:rsidR="00462EFC" w:rsidRDefault="00462EFC">
      <w:pPr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0"/>
        <w:gridCol w:w="3596"/>
        <w:gridCol w:w="5060"/>
      </w:tblGrid>
      <w:tr w:rsidR="00462EFC">
        <w:trPr>
          <w:trHeight w:val="543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center"/>
            </w:pPr>
            <w:r>
              <w:rPr>
                <w:b/>
                <w:sz w:val="24"/>
                <w:szCs w:val="24"/>
              </w:rPr>
              <w:t>Код главы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center"/>
            </w:pPr>
            <w:r>
              <w:rPr>
                <w:b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center"/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462EFC">
        <w:trPr>
          <w:trHeight w:val="14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center"/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4"/>
                <w:szCs w:val="24"/>
              </w:rPr>
              <w:t>Администрация Черкасского сельсовета</w:t>
            </w:r>
          </w:p>
        </w:tc>
      </w:tr>
      <w:tr w:rsidR="00462EFC">
        <w:trPr>
          <w:trHeight w:val="14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center"/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center"/>
            </w:pPr>
            <w:r>
              <w:rPr>
                <w:sz w:val="24"/>
                <w:szCs w:val="24"/>
              </w:rPr>
              <w:t>01 00 00 00 00 0000 000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</w:tr>
      <w:tr w:rsidR="00462EFC">
        <w:trPr>
          <w:trHeight w:val="14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center"/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center"/>
            </w:pPr>
            <w:r>
              <w:rPr>
                <w:sz w:val="24"/>
                <w:szCs w:val="24"/>
              </w:rPr>
              <w:t>01 05 00 00 00 0000 000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462EFC">
        <w:trPr>
          <w:trHeight w:val="14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center"/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center"/>
            </w:pPr>
            <w:r>
              <w:rPr>
                <w:sz w:val="24"/>
                <w:szCs w:val="24"/>
              </w:rPr>
              <w:t>01 05 00 00 00 0000 500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4"/>
                <w:szCs w:val="24"/>
              </w:rPr>
              <w:t>Увеличение остатков средств бюджета</w:t>
            </w:r>
          </w:p>
        </w:tc>
      </w:tr>
      <w:tr w:rsidR="00462EFC">
        <w:trPr>
          <w:trHeight w:val="14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center"/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center"/>
            </w:pPr>
            <w:r>
              <w:rPr>
                <w:sz w:val="24"/>
                <w:szCs w:val="24"/>
              </w:rPr>
              <w:t>01 05 02 00 00 0000 500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</w:tr>
      <w:tr w:rsidR="00462EFC">
        <w:trPr>
          <w:trHeight w:val="14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center"/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center"/>
            </w:pPr>
            <w:r>
              <w:rPr>
                <w:sz w:val="24"/>
                <w:szCs w:val="24"/>
              </w:rPr>
              <w:t>01 05 02 01 00 0000 510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4"/>
                <w:szCs w:val="24"/>
              </w:rPr>
              <w:t>Увеличение прочих остатков денежных средств</w:t>
            </w:r>
          </w:p>
        </w:tc>
      </w:tr>
      <w:tr w:rsidR="00462EFC">
        <w:trPr>
          <w:trHeight w:val="14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center"/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center"/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4"/>
                <w:szCs w:val="24"/>
              </w:rPr>
              <w:t xml:space="preserve">Увеличение прочих остатков денежных средств местных бюджетов </w:t>
            </w:r>
          </w:p>
        </w:tc>
      </w:tr>
      <w:tr w:rsidR="00462EFC">
        <w:trPr>
          <w:trHeight w:val="14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center"/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center"/>
            </w:pPr>
            <w:r>
              <w:rPr>
                <w:sz w:val="24"/>
                <w:szCs w:val="24"/>
              </w:rPr>
              <w:t>01 05 00 00 00 0000 600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462EFC">
        <w:trPr>
          <w:trHeight w:val="14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center"/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center"/>
            </w:pP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462EFC">
        <w:trPr>
          <w:trHeight w:val="14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center"/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center"/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4"/>
                <w:szCs w:val="24"/>
              </w:rPr>
              <w:t>Уменьшение прочих остатков денежных средств</w:t>
            </w:r>
          </w:p>
        </w:tc>
      </w:tr>
      <w:tr w:rsidR="00462EFC">
        <w:trPr>
          <w:trHeight w:val="14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center"/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center"/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FC" w:rsidRDefault="00462EFC">
            <w:pPr>
              <w:jc w:val="both"/>
            </w:pPr>
            <w:r>
              <w:rPr>
                <w:sz w:val="24"/>
                <w:szCs w:val="24"/>
              </w:rPr>
              <w:t>Уменьшение прочих остатков денежных средств местных бюджетов</w:t>
            </w:r>
          </w:p>
        </w:tc>
      </w:tr>
    </w:tbl>
    <w:p w:rsidR="00462EFC" w:rsidRDefault="00462EFC"/>
    <w:sectPr w:rsidR="00462EFC">
      <w:pgSz w:w="11906" w:h="16838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6E"/>
    <w:rsid w:val="00462EFC"/>
    <w:rsid w:val="00507920"/>
    <w:rsid w:val="009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EF8CB6E-1ADA-4141-92DE-F3B2C5BD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  <w:lang w:val="x-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Верхний колонтитул Знак"/>
    <w:rPr>
      <w:rFonts w:ascii="Arial" w:hAnsi="Arial" w:cs="Arial"/>
    </w:rPr>
  </w:style>
  <w:style w:type="character" w:customStyle="1" w:styleId="12">
    <w:name w:val="Верхний колонтитул Знак1"/>
    <w:basedOn w:val="10"/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  <w:lang w:val="x-none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7058E57050E8D7EA7E8A79212661B1A81C640F7AD19691504E04B91310231C136208ADCAF760492209996F5ECEAFFDBE351738DBCr41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3</vt:lpstr>
    </vt:vector>
  </TitlesOfParts>
  <Company/>
  <LinksUpToDate>false</LinksUpToDate>
  <CharactersWithSpaces>13073</CharactersWithSpaces>
  <SharedDoc>false</SharedDoc>
  <HLinks>
    <vt:vector size="6" baseType="variant"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consultantplus://offline/ref=F977058E57050E8D7EA7E8A79212661B1A81C640F7AD19691504E04B91310231C136208ADCAF760492209996F5ECEAFFDBE351738DBCr410M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3</dc:title>
  <dc:subject/>
  <dc:creator>compik</dc:creator>
  <cp:keywords/>
  <cp:lastModifiedBy>Пользователь Windows</cp:lastModifiedBy>
  <cp:revision>2</cp:revision>
  <cp:lastPrinted>2024-11-14T10:24:00Z</cp:lastPrinted>
  <dcterms:created xsi:type="dcterms:W3CDTF">2024-11-15T05:41:00Z</dcterms:created>
  <dcterms:modified xsi:type="dcterms:W3CDTF">2024-11-15T05:41:00Z</dcterms:modified>
</cp:coreProperties>
</file>